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40" w:before="60" w:after="60"/>
        <w:ind w:left="425" w:right="709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Recurso financeiro arrecadado por matrícula de aluno especial no PPgSI</w:t>
      </w:r>
    </w:p>
    <w:p>
      <w:pPr>
        <w:pStyle w:val="Normal1"/>
        <w:spacing w:lineRule="auto" w:line="240" w:before="60" w:after="60"/>
        <w:ind w:left="425" w:right="709" w:hanging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Formulário de solicitação para alunos </w:t>
      </w:r>
      <w:r>
        <w:rPr>
          <w:sz w:val="16"/>
          <w:szCs w:val="16"/>
        </w:rPr>
        <w:t xml:space="preserve">(Versão de </w:t>
      </w:r>
      <w:r>
        <w:rPr>
          <w:sz w:val="16"/>
          <w:szCs w:val="16"/>
        </w:rPr>
        <w:t>19</w:t>
      </w:r>
      <w:r>
        <w:rPr>
          <w:sz w:val="16"/>
          <w:szCs w:val="16"/>
        </w:rPr>
        <w:t>/0</w:t>
      </w:r>
      <w:r>
        <w:rPr>
          <w:sz w:val="16"/>
          <w:szCs w:val="16"/>
        </w:rPr>
        <w:t>9</w:t>
      </w:r>
      <w:r>
        <w:rPr>
          <w:sz w:val="16"/>
          <w:szCs w:val="16"/>
        </w:rPr>
        <w:t>/20</w:t>
      </w:r>
      <w:r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>
      <w:pPr>
        <w:pStyle w:val="Normal1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1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49"/>
        <w:gridCol w:w="4950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 aluno</w:t>
            </w:r>
          </w:p>
        </w:tc>
      </w:tr>
      <w:tr>
        <w:trPr/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N.USP: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ingresso como aluno regular: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orientador: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já defendeu ou já terá defendido na data do evento?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[     ] Não          [     ] Sim</w:t>
            </w:r>
          </w:p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sim, este não é o formulário correto a ser preenchido.</w:t>
            </w:r>
          </w:p>
        </w:tc>
      </w:tr>
    </w:tbl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2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1417"/>
        <w:gridCol w:w="4536"/>
      </w:tblGrid>
      <w:tr>
        <w:trPr/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 evento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evento: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do evento (Cidade, Estado):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 evento: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limite de inscrição com desconto: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recebimento do aceite: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Trilha de aceite do artigo: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aceite do artigo: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evento internacional, H5-Index do Google Scholar: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evento nacional, entidade promotora/organizadora: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3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5953"/>
      </w:tblGrid>
      <w:tr>
        <w:trPr/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88" w:before="40" w:after="40"/>
              <w:ind w:left="-100" w:hang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Revisão de inglês de artigo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do artigo: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palavras: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periódico para o qual será enviado o artigo: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JCR (</w:t>
            </w:r>
            <w:hyperlink r:id="rId2">
              <w:r>
                <w:rPr>
                  <w:color w:val="1155CC"/>
                  <w:sz w:val="16"/>
                  <w:szCs w:val="16"/>
                  <w:u w:val="single"/>
                </w:rPr>
                <w:t>http://jcr.incites.thomsonreuters.com</w:t>
              </w:r>
            </w:hyperlink>
            <w:r>
              <w:rPr>
                <w:sz w:val="16"/>
                <w:szCs w:val="16"/>
              </w:rPr>
              <w:t>) ou H-Index medido pela SCImago/Scopus (https://www.scimagojr.com/journalsearch.php)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4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5953"/>
      </w:tblGrid>
      <w:tr>
        <w:trPr/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88" w:before="40" w:after="40"/>
              <w:ind w:left="-100" w:hang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Taxa de publicação de artigo em periódico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do artigo: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periódico: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ISSN do periódico: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JCR (</w:t>
            </w:r>
            <w:hyperlink r:id="rId3">
              <w:r>
                <w:rPr>
                  <w:color w:val="1155CC"/>
                  <w:sz w:val="16"/>
                  <w:szCs w:val="16"/>
                  <w:u w:val="single"/>
                </w:rPr>
                <w:t>http://jcr.incites.thomsonreuters.com</w:t>
              </w:r>
            </w:hyperlink>
            <w:r>
              <w:rPr>
                <w:sz w:val="16"/>
                <w:szCs w:val="16"/>
              </w:rPr>
              <w:t>) ou H-Index medido pela SCImago/Scopus (https://www.scimagojr.com/journalsearch.php)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5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67"/>
        <w:gridCol w:w="3680"/>
        <w:gridCol w:w="850"/>
        <w:gridCol w:w="1418"/>
        <w:gridCol w:w="1417"/>
        <w:gridCol w:w="2268"/>
      </w:tblGrid>
      <w:tr>
        <w:trPr/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 solicitados</w:t>
            </w:r>
          </w:p>
        </w:tc>
      </w:tr>
      <w:tr>
        <w:trPr/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despesa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Qtde.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Vl.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Moeda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Passagem área</w:t>
            </w:r>
            <w:r>
              <w:rPr>
                <w:rStyle w:val="FootnoteAnchor"/>
                <w:sz w:val="16"/>
                <w:szCs w:val="16"/>
                <w:vertAlign w:val="superscript"/>
              </w:rPr>
              <w:footnoteReference w:id="2"/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rStyle w:val="FootnoteAnchor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Passagem rodoviária</w:t>
            </w:r>
            <w:r>
              <w:rPr>
                <w:sz w:val="16"/>
                <w:szCs w:val="16"/>
                <w:vertAlign w:val="superscript"/>
              </w:rPr>
              <w:t>2,</w:t>
            </w:r>
            <w:r>
              <w:rPr>
                <w:rStyle w:val="FootnoteAnchor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Hospedagem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Diária (para docente)</w:t>
            </w:r>
            <w:r>
              <w:rPr>
                <w:rStyle w:val="FootnoteAnchor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Inscrição em evento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 de publicação em periódico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 Real   [  ] Dólar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]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 de inglês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 ] Real  </w:t>
            </w:r>
          </w:p>
        </w:tc>
      </w:tr>
      <w:tr>
        <w:trPr/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1 (valores em reais)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2 (valores em dólares)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2 (convertido em reais</w:t>
            </w:r>
            <w:r>
              <w:rPr>
                <w:rStyle w:val="FootnoteAnchor"/>
                <w:sz w:val="16"/>
                <w:szCs w:val="16"/>
                <w:vertAlign w:val="superscript"/>
              </w:rPr>
              <w:footnoteReference w:id="6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geral (valores em reais = Total 1 + Total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12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0" w:name="gjdgxs"/>
      <w:bookmarkStart w:id="1" w:name="30j0zll"/>
      <w:bookmarkStart w:id="2" w:name="_i5kelg7lpe5j"/>
      <w:bookmarkStart w:id="3" w:name="gjdgxs"/>
      <w:bookmarkStart w:id="4" w:name="30j0zll"/>
      <w:bookmarkStart w:id="5" w:name="_i5kelg7lpe5j"/>
      <w:bookmarkEnd w:id="3"/>
      <w:bookmarkEnd w:id="4"/>
      <w:bookmarkEnd w:id="5"/>
    </w:p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bookmarkStart w:id="6" w:name="_erqnbltt2iyh"/>
      <w:bookmarkEnd w:id="6"/>
      <w:r>
        <w:rPr>
          <w:b/>
          <w:sz w:val="20"/>
          <w:szCs w:val="20"/>
        </w:rPr>
        <w:t>ATENÇÃO</w:t>
      </w:r>
      <w:r>
        <w:rPr>
          <w:sz w:val="16"/>
          <w:szCs w:val="16"/>
        </w:rPr>
        <w:t>: preencher e encaminhar também: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14" w:right="0" w:hanging="357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hyperlink r:id="rId4">
        <w:r>
          <w:rPr>
            <w:rFonts w:eastAsia="Verdana" w:cs="Verdan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6"/>
            <w:sz w:val="16"/>
            <w:szCs w:val="16"/>
            <w:u w:val="single"/>
            <w:shd w:fill="auto" w:val="clear"/>
            <w:vertAlign w:val="baseline"/>
          </w:rPr>
          <w:t>http://www.each.usp.br/saturno/download/Outros_Tipos.zip</w:t>
        </w:r>
      </w:hyperlink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[obrigatoriamente]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hyperlink r:id="rId5">
        <w:r>
          <w:rPr>
            <w:rFonts w:eastAsia="Verdana" w:cs="Verdan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6"/>
            <w:sz w:val="16"/>
            <w:szCs w:val="16"/>
            <w:u w:val="single"/>
            <w:shd w:fill="auto" w:val="clear"/>
            <w:vertAlign w:val="baseline"/>
          </w:rPr>
          <w:t>http://www.each.usp.br/saturno/download/Pedido_Compra_Passagem_Aerea.zip</w:t>
        </w:r>
      </w:hyperlink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[apenas se houver pedido de passagem aérea]</w:t>
      </w:r>
    </w:p>
    <w:p>
      <w:pPr>
        <w:pStyle w:val="Normal1"/>
        <w:spacing w:lineRule="auto" w:line="240" w:before="1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6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956"/>
        <w:gridCol w:w="5236"/>
      </w:tblGrid>
      <w:tr>
        <w:trPr/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spacing w:lineRule="auto" w:line="240" w:before="40" w:after="4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Assinaturas</w:t>
            </w:r>
          </w:p>
        </w:tc>
      </w:tr>
      <w:tr>
        <w:trPr>
          <w:trHeight w:val="858" w:hRule="atLeast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 w:before="40" w:after="40"/>
              <w:jc w:val="both"/>
              <w:rPr>
                <w:rFonts w:ascii="Verdana" w:hAnsi="Verdana" w:eastAsia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vertAlign w:val="subscript"/>
                <w:lang w:eastAsia="pt-BR"/>
              </w:rPr>
              <w:t>Ao encaminhar este formulário, declaro estar ciente que, como discente ou docente beneficiário de uma passagem aérea adquirida pela universidade, sou responsável pelo ressarcimento integral do valor caso eu não realize a viagem, exceto por caso fortuito ou força maior, e que, havendo recusa em ressarcir, o caso será encaminhado à Procuradoria Judicial Cível, de acordo com Parecer emitido pela Procuradoria Geral da USP. Estou ciente que a não obtenção prévia de visto que viabilize a viagem não se enquadra em caso fortuito ou força maior. Estou ciente que, para despesas na modalidade reembolso associada a uma viagem, caso eu não realize a viagem, não estarei apto a receber o reembolso das despesas realizadas.</w:t>
            </w:r>
          </w:p>
        </w:tc>
      </w:tr>
      <w:tr>
        <w:trPr/>
        <w:tc>
          <w:tcPr>
            <w:tcW w:w="10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Data:  </w:t>
            </w:r>
          </w:p>
          <w:p>
            <w:pPr>
              <w:pStyle w:val="Normal1"/>
              <w:spacing w:lineRule="auto" w:line="240" w:before="120" w:after="120"/>
              <w:rPr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(aluno):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(orientador):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240" w:after="60"/>
        <w:jc w:val="both"/>
        <w:rPr>
          <w:sz w:val="16"/>
          <w:szCs w:val="16"/>
        </w:rPr>
      </w:pPr>
      <w:r>
        <w:rPr>
          <w:b/>
          <w:sz w:val="16"/>
          <w:szCs w:val="16"/>
        </w:rPr>
        <w:t>Atenção</w:t>
      </w:r>
      <w:r>
        <w:rPr>
          <w:sz w:val="16"/>
          <w:szCs w:val="16"/>
        </w:rPr>
        <w:t>: anexar todos os documentos previstos no documento de regras publicado no website do PPgSI, ou justificativa para a não apresentação de algum documento solicitado. Solicitações incompletas não serão avaliadas.</w:t>
      </w:r>
    </w:p>
    <w:p>
      <w:pPr>
        <w:pStyle w:val="Normal1"/>
        <w:spacing w:lineRule="auto" w:line="240" w:before="240" w:after="6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7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72"/>
        <w:gridCol w:w="7220"/>
      </w:tblGrid>
      <w:tr>
        <w:trPr/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EAEA" w:val="clear"/>
          </w:tcPr>
          <w:p>
            <w:pPr>
              <w:pStyle w:val="Normal1"/>
              <w:keepNext w:val="true"/>
              <w:spacing w:lineRule="auto" w:line="240" w:before="40" w:after="4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CCP-PPgSI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] deferido completamente      [   ] deferido parcialmente      [   ] indeferido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máximo autorizado: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Coordenador:</w:t>
            </w:r>
          </w:p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(incluir nome completo e data)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spacing w:lineRule="auto" w:line="240"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spacing w:lineRule="auto" w:line="240" w:before="240" w:after="60"/>
        <w:jc w:val="both"/>
        <w:rPr>
          <w:sz w:val="16"/>
          <w:szCs w:val="16"/>
        </w:rPr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851" w:right="851" w:header="0" w:top="993" w:footer="0" w:bottom="5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swiss"/>
    <w:pitch w:val="default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344805</wp:posOffset>
          </wp:positionH>
          <wp:positionV relativeFrom="paragraph">
            <wp:posOffset>-264795</wp:posOffset>
          </wp:positionV>
          <wp:extent cx="6118860" cy="38163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Style w:val="FootnoteCharacters"/>
        </w:rPr>
        <w:footnoteRef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>Valor máximo a ser usado para compra da passagem aérea pela administração da EACH.</w:t>
      </w:r>
    </w:p>
  </w:footnote>
  <w:footnote w:id="3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Style w:val="FootnoteCharacters"/>
        </w:rPr>
        <w:footnoteRef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>Apenas uma das duas opções pode ser marcada “passagem aérea” ou “passagem rodoviária”.</w:t>
      </w:r>
    </w:p>
  </w:footnote>
  <w:footnote w:id="4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Style w:val="FootnoteCharacters"/>
        </w:rPr>
        <w:footnoteRef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>Valor máximo a ser pago para o aluno na forma de reembolso após empenho e viagem.</w:t>
      </w:r>
    </w:p>
  </w:footnote>
  <w:footnote w:id="5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Style w:val="FootnoteCharacters"/>
        </w:rPr>
        <w:footnoteRef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14"/>
          <w:szCs w:val="14"/>
          <w:u w:val="none"/>
          <w:shd w:fill="auto" w:val="clear"/>
          <w:vertAlign w:val="superscript"/>
        </w:rPr>
        <w:t xml:space="preserve">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Diária deve ser usada apenas por “docente”. Usar o valor da tabela de diária USP: </w:t>
      </w:r>
      <w:hyperlink r:id="rId1">
        <w:r>
          <w:rPr>
            <w:rFonts w:eastAsia="Verdana" w:cs="Verdan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4"/>
            <w:sz w:val="14"/>
            <w:szCs w:val="14"/>
            <w:u w:val="single"/>
            <w:shd w:fill="auto" w:val="clear"/>
            <w:vertAlign w:val="baseline"/>
          </w:rPr>
          <w:t>http://www5.each.usp.br/secao-de-contabilidade/</w:t>
        </w:r>
      </w:hyperlink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</w:p>
  </w:footnote>
  <w:footnote w:id="6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14"/>
          <w:szCs w:val="14"/>
          <w:u w:val="single"/>
          <w:vertAlign w:val="baseline"/>
        </w:rPr>
      </w:pPr>
      <w:r>
        <w:rPr>
          <w:rStyle w:val="FootnoteCharacters"/>
        </w:rPr>
        <w:footnoteRef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Para conversão, usar a taxa do dia obtida em: </w:t>
      </w:r>
      <w:hyperlink r:id="rId2">
        <w:r>
          <w:rPr>
            <w:rFonts w:eastAsia="Verdana" w:cs="Verdan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4"/>
            <w:sz w:val="14"/>
            <w:szCs w:val="14"/>
            <w:u w:val="single"/>
            <w:shd w:fill="auto" w:val="clear"/>
            <w:vertAlign w:val="baseline"/>
          </w:rPr>
          <w:t>http://www4.bcb.gov.br/pec/taxas/port/ptaxnpesq.asp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3175</wp:posOffset>
          </wp:positionH>
          <wp:positionV relativeFrom="paragraph">
            <wp:posOffset>-24765</wp:posOffset>
          </wp:positionV>
          <wp:extent cx="6115685" cy="9671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cr.incites.thomsonreuters.com/" TargetMode="External"/><Relationship Id="rId3" Type="http://schemas.openxmlformats.org/officeDocument/2006/relationships/hyperlink" Target="http://jcr.incites.thomsonreuters.com/" TargetMode="External"/><Relationship Id="rId4" Type="http://schemas.openxmlformats.org/officeDocument/2006/relationships/hyperlink" Target="http://www.each.usp.br/saturno/download/Outros_Tipos.zip" TargetMode="External"/><Relationship Id="rId5" Type="http://schemas.openxmlformats.org/officeDocument/2006/relationships/hyperlink" Target="http://www.each.usp.br/saturno/download/Pedido_Compra_Passagem_Aerea.zip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5.each.usp.br/secao-de-contabilidade/" TargetMode="External"/><Relationship Id="rId2" Type="http://schemas.openxmlformats.org/officeDocument/2006/relationships/hyperlink" Target="http://www4.bcb.gov.br/pec/taxas/port/ptaxnpesq.as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542</Words>
  <Characters>3055</Characters>
  <CharactersWithSpaces>3598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2023-09-19T11:31:35Z</dcterms:modified>
  <cp:revision>1</cp:revision>
  <dc:subject/>
  <dc:title/>
</cp:coreProperties>
</file>